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="240" w:lineRule="auto"/>
        <w:jc w:val="center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¿Por qué 2022 será un año clave para la consolidación digital de las empresas?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La adopción del trabajo remoto aceleró como nunca la digitalización de las empresas mexicanas: de acuerdo con </w:t>
      </w: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sz w:val="21"/>
            <w:szCs w:val="21"/>
            <w:u w:val="single"/>
            <w:rtl w:val="0"/>
          </w:rPr>
          <w:t xml:space="preserve">estimaciones</w:t>
        </w:r>
      </w:hyperlink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 de </w:t>
      </w:r>
      <w:r w:rsidDel="00000000" w:rsidR="00000000" w:rsidRPr="00000000">
        <w:rPr>
          <w:rFonts w:ascii="Open Sans" w:cs="Open Sans" w:eastAsia="Open Sans" w:hAnsi="Open Sans"/>
          <w:i w:val="1"/>
          <w:sz w:val="21"/>
          <w:szCs w:val="21"/>
          <w:rtl w:val="0"/>
        </w:rPr>
        <w:t xml:space="preserve">Adobe México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, muchas de ellas avanzaron su proceso de transformación de tres años en tan solo tres meses de pandemia. Bajo este contexto, </w:t>
      </w:r>
      <w:r w:rsidDel="00000000" w:rsidR="00000000" w:rsidRPr="00000000">
        <w:rPr>
          <w:rFonts w:ascii="Open Sans" w:cs="Open Sans" w:eastAsia="Open Sans" w:hAnsi="Open Sans"/>
          <w:b w:val="1"/>
          <w:sz w:val="21"/>
          <w:szCs w:val="21"/>
          <w:rtl w:val="0"/>
        </w:rPr>
        <w:t xml:space="preserve">Carlos Kamimura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Open Sans" w:cs="Open Sans" w:eastAsia="Open Sans" w:hAnsi="Open Sans"/>
          <w:b w:val="1"/>
          <w:sz w:val="21"/>
          <w:szCs w:val="21"/>
          <w:rtl w:val="0"/>
        </w:rPr>
        <w:t xml:space="preserve"> director de alianzas en Latinoamérica para </w:t>
      </w:r>
      <w:hyperlink r:id="rId7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1"/>
            <w:szCs w:val="21"/>
            <w:u w:val="single"/>
            <w:rtl w:val="0"/>
          </w:rPr>
          <w:t xml:space="preserve">monday.com</w:t>
        </w:r>
      </w:hyperlink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, el sistema operativo de trabajo (</w:t>
      </w:r>
      <w:r w:rsidDel="00000000" w:rsidR="00000000" w:rsidRPr="00000000">
        <w:rPr>
          <w:rFonts w:ascii="Open Sans" w:cs="Open Sans" w:eastAsia="Open Sans" w:hAnsi="Open Sans"/>
          <w:i w:val="1"/>
          <w:sz w:val="21"/>
          <w:szCs w:val="21"/>
          <w:rtl w:val="0"/>
        </w:rPr>
        <w:t xml:space="preserve">Work OS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) que permite a organizaciones de cualquier tamaño crear las herramientas que necesitan para gestionar cada aspecto de su rutina, considera que el 2022 será un período clave para la </w:t>
      </w:r>
      <w:r w:rsidDel="00000000" w:rsidR="00000000" w:rsidRPr="00000000">
        <w:rPr>
          <w:rFonts w:ascii="Open Sans" w:cs="Open Sans" w:eastAsia="Open Sans" w:hAnsi="Open Sans"/>
          <w:b w:val="1"/>
          <w:sz w:val="21"/>
          <w:szCs w:val="21"/>
          <w:rtl w:val="0"/>
        </w:rPr>
        <w:t xml:space="preserve">Consolidación Digital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 de muchas compañías y los entornos de trabajo más integrados, gracias al desarrollo de los siguientes aspectos: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Open Sans" w:cs="Open Sans" w:eastAsia="Open Sans" w:hAnsi="Open Sans"/>
          <w:b w:val="1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sz w:val="21"/>
          <w:szCs w:val="21"/>
          <w:rtl w:val="0"/>
        </w:rPr>
        <w:t xml:space="preserve">La automatización brindará mayor autonomía para el trabajo más importante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La digitalización y la adopción de nuevos sistemas para la gestión de tiempo y flujos de trabajo está contribuyendo a que los colaboradores sean un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21"/>
            <w:szCs w:val="21"/>
            <w:u w:val="single"/>
            <w:rtl w:val="0"/>
          </w:rPr>
          <w:t xml:space="preserve">70% menos propensos</w:t>
        </w:r>
      </w:hyperlink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 a experimentar agotamiento (</w:t>
      </w:r>
      <w:r w:rsidDel="00000000" w:rsidR="00000000" w:rsidRPr="00000000">
        <w:rPr>
          <w:rFonts w:ascii="Open Sans" w:cs="Open Sans" w:eastAsia="Open Sans" w:hAnsi="Open Sans"/>
          <w:i w:val="1"/>
          <w:sz w:val="21"/>
          <w:szCs w:val="21"/>
          <w:rtl w:val="0"/>
        </w:rPr>
        <w:t xml:space="preserve">burnout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). Ante ello se espera que las empresas refuercen su estrategia de transformación digital, adoptando más herramientas de automatización con el fin de brindar a los empleados horarios más flexibles y menos reuniones; </w:t>
      </w:r>
      <w:r w:rsidDel="00000000" w:rsidR="00000000" w:rsidRPr="00000000">
        <w:rPr>
          <w:rFonts w:ascii="Open Sans" w:cs="Open Sans" w:eastAsia="Open Sans" w:hAnsi="Open Sans"/>
          <w:b w:val="1"/>
          <w:sz w:val="21"/>
          <w:szCs w:val="21"/>
          <w:rtl w:val="0"/>
        </w:rPr>
        <w:t xml:space="preserve">las compañías buscarán agilizar tareas rutinarias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 como el envío de correos electrónicos, mensajes de texto a clientes, subida y gestión de archivos y la programación de campañas en canales de comunicación y más, lo que permitirá ahorrar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21"/>
            <w:szCs w:val="21"/>
            <w:u w:val="single"/>
            <w:rtl w:val="0"/>
          </w:rPr>
          <w:t xml:space="preserve">hasta 3 horas</w:t>
        </w:r>
      </w:hyperlink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 al día para concentrarse en el trabajo de mayor impacto.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Open Sans" w:cs="Open Sans" w:eastAsia="Open Sans" w:hAnsi="Open Sans"/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sz w:val="21"/>
          <w:szCs w:val="21"/>
          <w:rtl w:val="0"/>
        </w:rPr>
        <w:t xml:space="preserve">El bajo código </w:t>
      </w:r>
      <w:r w:rsidDel="00000000" w:rsidR="00000000" w:rsidRPr="00000000">
        <w:rPr>
          <w:rFonts w:ascii="Open Sans" w:cs="Open Sans" w:eastAsia="Open Sans" w:hAnsi="Open Sans"/>
          <w:b w:val="1"/>
          <w:sz w:val="21"/>
          <w:szCs w:val="21"/>
          <w:rtl w:val="0"/>
        </w:rPr>
        <w:t xml:space="preserve">empoderará</w:t>
      </w:r>
      <w:r w:rsidDel="00000000" w:rsidR="00000000" w:rsidRPr="00000000">
        <w:rPr>
          <w:rFonts w:ascii="Open Sans" w:cs="Open Sans" w:eastAsia="Open Sans" w:hAnsi="Open Sans"/>
          <w:b w:val="1"/>
          <w:sz w:val="21"/>
          <w:szCs w:val="21"/>
          <w:rtl w:val="0"/>
        </w:rPr>
        <w:t xml:space="preserve"> la transformación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Si bien las plataformas </w:t>
      </w:r>
      <w:r w:rsidDel="00000000" w:rsidR="00000000" w:rsidRPr="00000000">
        <w:rPr>
          <w:rFonts w:ascii="Open Sans" w:cs="Open Sans" w:eastAsia="Open Sans" w:hAnsi="Open Sans"/>
          <w:i w:val="1"/>
          <w:sz w:val="21"/>
          <w:szCs w:val="21"/>
          <w:rtl w:val="0"/>
        </w:rPr>
        <w:t xml:space="preserve">low-code/no-code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 no son un concepto nuevo en la industria tecnológica, en 2022 sí veremos cómo estos softwares se convertirán en la herramienta principal para la transformación digital de las empresas: los equipos ya no buscarán herramientas  prefabricadas o destinadas a una solución específica, sino que elegirán aquellas que les den suficiente flexibilidad para diseñar los flujos de trabajo, aplicaciones y procesos que deseen.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A raíz de la pandemia, </w:t>
      </w:r>
      <w:r w:rsidDel="00000000" w:rsidR="00000000" w:rsidRPr="00000000">
        <w:rPr>
          <w:rFonts w:ascii="Open Sans" w:cs="Open Sans" w:eastAsia="Open Sans" w:hAnsi="Open Sans"/>
          <w:b w:val="1"/>
          <w:sz w:val="21"/>
          <w:szCs w:val="21"/>
          <w:rtl w:val="0"/>
        </w:rPr>
        <w:t xml:space="preserve">el bajo código se ha posicionado como un método accesible y personalizable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 para que las empresas se equipen con las herramientas necesarias para trabajar de forma más rápida, eficiente y escalable: Gartner prevé que el gasto en estas plataformas crecerá hasta los </w:t>
      </w: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sz w:val="21"/>
            <w:szCs w:val="21"/>
            <w:u w:val="single"/>
            <w:rtl w:val="0"/>
          </w:rPr>
          <w:t xml:space="preserve">13 mil 800 millones de dólares</w:t>
        </w:r>
      </w:hyperlink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 a finales de 2021, un aumento del 23% desde 2020.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Todo indica que el 2022 será un año decisivo en el transcurso de las compañías mexicanas y su transformación. Los aspectos anteriores dejan ver que, de la mano de una mayor adopción tecnológica, también será necesario que las empresas garanticen una experiencia de usuario excepcional que ayude a sus colaboradores a realizar su trabajo de manera eficiente, por lo que la </w:t>
      </w:r>
      <w:r w:rsidDel="00000000" w:rsidR="00000000" w:rsidRPr="00000000">
        <w:rPr>
          <w:rFonts w:ascii="Open Sans" w:cs="Open Sans" w:eastAsia="Open Sans" w:hAnsi="Open Sans"/>
          <w:b w:val="1"/>
          <w:sz w:val="21"/>
          <w:szCs w:val="21"/>
          <w:rtl w:val="0"/>
        </w:rPr>
        <w:t xml:space="preserve">Consolidación Digital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 deberá pensarse desde una perspectiva más humana, colaborativa y transparente.</w:t>
      </w:r>
    </w:p>
    <w:p w:rsidR="00000000" w:rsidDel="00000000" w:rsidP="00000000" w:rsidRDefault="00000000" w:rsidRPr="00000000" w14:paraId="0000000D">
      <w:pPr>
        <w:jc w:val="left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first"/>
      <w:footerReference r:id="rId15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957513" cy="53525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7513" cy="535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957513" cy="53525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7513" cy="535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gartner.com/en/newsroom/press-releases/2021-02-15-gartner-forecasts-worldwide-low-code-development-technologies-market-to-grow-23-percent-in-2021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utomationanywhere.com/company/press-room/global-research-reveals-world-s-most-hated-office-tasks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linkedin.com/pulse/el-auge-del-e-commerce-y-digitalizaci%C3%B3n-de-empresas-beteta-romero/?trk=public_profile_article_view" TargetMode="External"/><Relationship Id="rId7" Type="http://schemas.openxmlformats.org/officeDocument/2006/relationships/hyperlink" Target="https://monday.com/" TargetMode="External"/><Relationship Id="rId8" Type="http://schemas.openxmlformats.org/officeDocument/2006/relationships/hyperlink" Target="https://www.gallup.com/workplace/237059/employee-burnout-part-main-causes.asp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